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72</w:t>
      </w:r>
    </w:p>
    <w:p>
      <w:r>
        <w:t>Bundesgericht (BGE), 1988-04-25, FR</w:t>
      </w:r>
    </w:p>
    <w:p>
      <w:r>
        <w:rPr>
          <w:b/>
        </w:rPr>
        <w:t xml:space="preserve">Quelle: </w:t>
      </w:r>
      <w:r>
        <w:t>https://mcp.opencaselaw.ch/entscheid/bge_114 V 72</w:t>
      </w:r>
    </w:p>
    <w:p>
      <w:r>
        <w:t>FR: ATF 114 V 72</w:t>
      </w:r>
    </w:p>
    <w:p>
      <w:r>
        <w:t>IT: DTF 114 V 72</w:t>
      </w:r>
    </w:p>
    <w:p>
      <w:pPr>
        <w:pStyle w:val="Heading2"/>
      </w:pPr>
      <w:r>
        <w:t>Regeste</w:t>
      </w:r>
    </w:p>
    <w:p>
      <w:r>
        <w:t>Regeste Art. 9 Abs. 1 AHVG, Art. 17 lit. c und d sowie 23bis Abs. 1 AHVV: Sonderbeitrag auf Liquidationsgewinn im Falle einer Familiengemeinderschaft. - Unter den Begriff des Einkommens aus selbständiger Erwerbstätigkeit fallen auch die Einkünfte von Miterben, welche zur Weiterführung eines zur Erbschaft gehörenden Betriebes eine Familiengemeinderschaft nach Art. 336 ff. ZGB errichtet haben. - Wer bloss mit einer Kapitaleinlage zur Erreichung des Erwerbszwecks einer Kollektiv-, einer Kommandit- oder einer einfachen Gesellschaft beiträgt, muss sich als Versicherter die vom geschäftsführenden Gesellschafter auf Rechnung der übrigen Mitglieder ausgeübte Tätigkeit wie eine eigene Erwerbstätigkeit anrechnen lassen. Dieser Grundsatz gilt auch für Versicherte in einer Familiengemeinderschaft, weil diese gleich wie die erwähnten Gesellschaften eine Personengesamtheit ohne juristische Persönlichkeit darstellt. - Wer als Erbe aus der Familiengemeinderschaft ausscheidet und seinen Anteil am Betriebsvermögen erhält, schuldet den Sonderbeitrag auf dem Liquidationsgewinn, der sich aus der Auflösung der sowohl vom Erblasser als auch von den Erben der Gemeinschaft geäufneten stillen Reserven ergibt.</w:t>
      </w:r>
    </w:p>
    <w:p>
      <w:pPr>
        <w:pStyle w:val="Heading2"/>
      </w:pPr>
      <w:r>
        <w:t>Erwägungen</w:t>
      </w:r>
    </w:p>
    <w:p>
      <w:r>
        <w:rPr>
          <w:b/>
        </w:rPr>
        <w:t>E. 2</w:t>
      </w:r>
    </w:p>
    <w:p>
      <w:r>
        <w:t>Selon l'art. 4 al. 1 en relation avec l' art. 9 LAVS , le revenu provenant d'une activité indépendante est soumis à cotisation. En vertu des art. 9 al. 1 LAVS et 17 let. d RAVS, est réputé revenu provenant d'une activité indépendante le revenu acquis dans une situation indépendante dans l'agriculture, la sylviculture, le commerce, l'artisanat, l'industrie et les professions libérales, y compris les augmentations de valeur et les bénéfices en capital obtenus et portés en compte par des entreprises astreintes à tenir des livres. Conformément à l' art. 23bis al. 1 RAVS , une cotisation spéciale est prélevée sur les bénéfices en capital et les augmentations de valeur au sens de l' art. 17 let . d RAVS, s'ils sont soumis à l'impôt annuel spécial selon l' art. 43 AIFD . Cette cotisation est due pour l'année durant laquelle le bénéfice en capital ou l'augmentation de valeur ont été réalisés ( art. 23bis al. 2 RAVS ). En vertu de l' art. 23 RAVS , les autorités fiscales cantonales se fondent sur la taxation passée en force de l'impôt fédéral direct pour établir le revenu déterminant le calcul des cotisations (al. 1). Les caisses de compensation sont liées par les données des autorités fiscales cantonales (al. 4).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 ATF 110 V 86 consid. 4 et 370 consid. 2a, ATF 102 V 31 consid. 3b et les références).</w:t>
      </w:r>
    </w:p>
    <w:p>
      <w:r>
        <w:rPr>
          <w:b/>
        </w:rPr>
        <w:t>E. 4</w:t>
      </w:r>
    </w:p>
    <w:p>
      <w:r>
        <w:t>a) La recourante soutient que les art. 17 let . d et 23bis RAVS ne lui sont pas applicables en raison des particularités de son cas. Elle expose qu'elle n'a pris aucune part active dans l'administration de l'indivision de famille créée au décès de son BGE 114 V 72 S. 76 père, qu'elle n'a pas participé effectivement à la gestion des biens de l'indivision ni travaillé dans l'hôtel-restaurant, contrairement aux autres indivis, et que le chef expressément désigné de l'indivision était son frère J. N'ayant pas exercé d'activité lucrative indépendante en rapport avec la fortune commerciale laissée par son père, elle s'est contentée de recevoir, au moment de la dissolution de l'indivision de famille, sa part d'héritage. Celle-ci ne constitue pas, à son avis, un bénéfice en capital au sens de l' art. 23bis RAVS . b) Selon l' art. 17 let . c en corrélation avec l' art. 20 al. 3 RAVS , les membres des sociétés en nom collectif, des sociétés en commandite et d'autres collectivités de personnes ayant un but lucratif et ne possédant pas la personnalité juridique sont tenus de payer des cotisations sur la part qui leur revient (dans la mesure où cette part dépasse l'intérêt dont la déduction est autorisée en vertu de l' art. 18 al. 2 RAVS ). D'après la jurisprudence, la notion de revenu provenant d'une activité lucrative indépendante, au sens de l' art. 9 LAVS , comprend dès lors aussi le revenu que les membres d'une communauté héréditaire tirent, en tant que titulaires d'une quote-part de la succession, de l'exploitation d'une entreprise appartenant à celle-ci (ATFA 1958 p. 115 consid. 1, 1950 p. 217; RCC 1976 p. 157). Il en va de même des revenus obtenus par les cohéritiers qui, décidés à laisser la succession en propriété commune pour exploiter l'entreprise qu'elle comporte, ont créé une indivision de famille en application des art. 336 ss CC . Que les biens productifs du gain considéré soient échus à un assuré par voie successorale est ainsi sans importance sur le plan de l'obligation de cotiser (cf. aussi ATF 105 V 4 ). D'autre part, il n'est pas décisif - dans le cadre des dispositions susmentionnées - de savoir quelle est l'activité, réputée lucrative, déployée effectivement par l'assuré en sa qualité de membre de la collectivité de personnes en question. L'obligation de payer des cotisations n'est pas soumise à la condition que l'assuré accomplisse un travail personnel; il suffit que la collectivité à laquelle il appartient vise un but lucratif. L'assuré qui n'a contribué à la réalisation d'un but lucratif commun que par une mise de fonds doit accepter que l'activité déployée le cas échéant par l'associé gérant pour le compte des autres membres de la collectivité lui soit imputée comme une activité lucrative propre. Ces principes ont été appliqués par le Tribunal fédéral des assurances dans le cas de la société en nom collectif (RCC 1986 p. 483), BGE 114 V 72 S. 77 dans celui de la société en commandite ( ATF 105 V 4 ; RCC 1985 p. 319 et p. 539, 1979 p. 422) et dans l'hypothèse de la société simple (RCC 1984 p. 233, 1981 p. 360, et les arrêts cités); ils doivent l'être aussi lorsque l'assuré est membre d'une indivision de famille, laquelle constitue également - comme les sociétés précitées - une collectivité de personnes sans personnalité juridique. La recourante argue donc en vain qu'elle ne voulait ou ne pouvait pas, pour quelque raison que ce soit, participer à la direction de l'indivision et à la gestion de l'établissement hôtelier. c) Les augmentations de valeur et les bénéfices en capital obtenus et portés en compte par des entreprises astreintes à tenir des livres ( art. 17 let . d RAVS), donnant lieu à la perception de la cotisation spéciale au sens de l' art. 23bis RAVS , comprennent les bénéfices de liquidation qui se produisent en cas de dissolution ou de transformation de telles entreprises, ou encore en cas d'aliénation d'éléments de leur fortune, car ils constituent le résultat économique d'une activité indépendante ( ATF 106 V 194 consid. 1; RCC 1986 p. 607 consid. 1a, ainsi que les références citées). Dès lors, dans la mesure où, pour les motifs exposés ci-dessus, la recourante est soumise à l'obligation de cotiser en raison d'une activité lucrative indépendante liée à l'entreprise de son défunt père, elle est également tenue de la cotisation spéciale due sur les bénéfices de liquidation résultant de la vente de sa part. On notera au demeurant que, sur le plan fiscal, l'opération par laquelle un bien contenant des réserves latentes est transféré de la fortune commerciale dans la fortune privée d'un entrepreneur (prélèvement privé) - c'est-à-dire dans un domaine du patrimoine dans lequel l'imposition du gain en capital n'est plus possible - constitue la réalisation desdites réserves et entraîne un gain en capital soumis à l'impôt. Tel est le cas également lorsque des immeubles appartenant à la fortune commerciale d'un de cujus sont transférés lors du partage de la succession dans la fortune privée respective des divers héritiers ( ATF 105 Ib 240 consid.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